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0"/>
          <w:szCs w:val="30"/>
        </w:rPr>
      </w:pPr>
      <w:r>
        <w:rPr>
          <w:rFonts w:hint="eastAsia" w:ascii="黑体" w:hAnsi="黑体" w:eastAsia="黑体"/>
          <w:color w:val="1D44A7"/>
          <w:sz w:val="30"/>
          <w:szCs w:val="30"/>
        </w:rPr>
        <w:t xml:space="preserve"> </w:t>
      </w:r>
      <w:bookmarkStart w:id="2" w:name="_GoBack"/>
      <w:bookmarkStart w:id="0" w:name="OLE_LINK2"/>
      <w:bookmarkStart w:id="1" w:name="OLE_LINK1"/>
      <w:r>
        <w:rPr>
          <w:rFonts w:hint="eastAsia" w:ascii="黑体" w:hAnsi="黑体" w:eastAsia="黑体"/>
          <w:sz w:val="30"/>
          <w:szCs w:val="30"/>
        </w:rPr>
        <w:t>中国科学院西北高原生物研究所2019年（第二批）岗位招聘</w:t>
      </w:r>
      <w:bookmarkEnd w:id="0"/>
      <w:bookmarkEnd w:id="1"/>
      <w:r>
        <w:rPr>
          <w:rFonts w:hint="eastAsia" w:ascii="黑体" w:hAnsi="黑体" w:eastAsia="黑体"/>
          <w:sz w:val="30"/>
          <w:szCs w:val="30"/>
        </w:rPr>
        <w:t>计划</w:t>
      </w:r>
    </w:p>
    <w:bookmarkEnd w:id="2"/>
    <w:p>
      <w:pPr>
        <w:widowControl/>
        <w:spacing w:line="375" w:lineRule="atLeast"/>
        <w:ind w:firstLine="420"/>
        <w:jc w:val="left"/>
        <w:rPr>
          <w:rFonts w:ascii="Times New Roman" w:hAnsi="Times New Roman" w:eastAsia="宋体" w:cs="Times New Roman"/>
          <w:color w:val="424242"/>
          <w:kern w:val="0"/>
          <w:szCs w:val="21"/>
        </w:rPr>
      </w:pPr>
    </w:p>
    <w:p>
      <w:pPr>
        <w:widowControl/>
        <w:spacing w:line="375" w:lineRule="atLeast"/>
        <w:ind w:firstLine="420"/>
        <w:jc w:val="left"/>
        <w:rPr>
          <w:rFonts w:ascii="Times New Roman" w:hAnsi="Times New Roman" w:eastAsia="宋体" w:cs="Times New Roman"/>
          <w:color w:val="424242"/>
          <w:kern w:val="0"/>
          <w:szCs w:val="21"/>
        </w:rPr>
      </w:pPr>
      <w:r>
        <w:rPr>
          <w:rFonts w:ascii="Times New Roman" w:hAnsi="Times New Roman" w:eastAsia="宋体" w:cs="Times New Roman"/>
          <w:b/>
          <w:bCs/>
          <w:color w:val="424242"/>
          <w:kern w:val="0"/>
          <w:szCs w:val="21"/>
        </w:rPr>
        <w:t>1、科研岗位</w:t>
      </w:r>
    </w:p>
    <w:tbl>
      <w:tblPr>
        <w:tblStyle w:val="7"/>
        <w:tblpPr w:leftFromText="180" w:rightFromText="180" w:vertAnchor="text" w:tblpY="1"/>
        <w:tblOverlap w:val="never"/>
        <w:tblW w:w="1417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936"/>
        <w:gridCol w:w="1842"/>
        <w:gridCol w:w="2552"/>
        <w:gridCol w:w="992"/>
        <w:gridCol w:w="485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trPr>
        <w:tc>
          <w:tcPr>
            <w:tcW w:w="39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学科组</w:t>
            </w:r>
          </w:p>
        </w:tc>
        <w:tc>
          <w:tcPr>
            <w:tcW w:w="18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学科组组长</w:t>
            </w:r>
          </w:p>
        </w:tc>
        <w:tc>
          <w:tcPr>
            <w:tcW w:w="25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研究方向</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岗位数</w:t>
            </w:r>
          </w:p>
        </w:tc>
        <w:tc>
          <w:tcPr>
            <w:tcW w:w="48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 w:val="24"/>
                <w:szCs w:val="24"/>
              </w:rPr>
              <w:t>应聘条件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39" w:hRule="atLeast"/>
        </w:trPr>
        <w:tc>
          <w:tcPr>
            <w:tcW w:w="3936"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退化草地恢复与生态畜牧业学科组</w:t>
            </w:r>
          </w:p>
        </w:tc>
        <w:tc>
          <w:tcPr>
            <w:tcW w:w="18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赵新全（徐世晓）</w:t>
            </w:r>
          </w:p>
        </w:tc>
        <w:tc>
          <w:tcPr>
            <w:tcW w:w="25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草业科学或畜牧学</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4852" w:type="dxa"/>
            <w:vMerge w:val="restart"/>
            <w:tcBorders>
              <w:top w:val="single" w:color="auto" w:sz="8" w:space="0"/>
              <w:left w:val="nil"/>
              <w:right w:val="single" w:color="auto" w:sz="8" w:space="0"/>
            </w:tcBorders>
            <w:tcMar>
              <w:top w:w="0" w:type="dxa"/>
              <w:left w:w="108" w:type="dxa"/>
              <w:bottom w:w="0" w:type="dxa"/>
              <w:right w:w="108" w:type="dxa"/>
            </w:tcMar>
            <w:vAlign w:val="center"/>
          </w:tcPr>
          <w:p>
            <w:pPr>
              <w:widowControl/>
              <w:spacing w:line="360" w:lineRule="exact"/>
              <w:ind w:left="314" w:leftChars="-16" w:hanging="348" w:hangingChars="166"/>
              <w:rPr>
                <w:rFonts w:hint="eastAsia" w:ascii="宋体" w:hAnsi="宋体" w:eastAsia="宋体" w:cs="宋体"/>
                <w:kern w:val="0"/>
                <w:szCs w:val="21"/>
              </w:rPr>
            </w:pPr>
            <w:r>
              <w:rPr>
                <w:rFonts w:hint="eastAsia" w:ascii="宋体" w:hAnsi="宋体" w:eastAsia="宋体" w:cs="宋体"/>
                <w:kern w:val="0"/>
                <w:szCs w:val="21"/>
              </w:rPr>
              <w:t>1、具有博士学位，身体健康，年龄不超过35周岁，特别优秀的人员，年龄可适当放宽到不超过40周岁；</w:t>
            </w:r>
          </w:p>
          <w:p>
            <w:pPr>
              <w:widowControl/>
              <w:spacing w:line="360" w:lineRule="exact"/>
              <w:ind w:left="314" w:leftChars="-16" w:hanging="348" w:hangingChars="166"/>
              <w:rPr>
                <w:rFonts w:hint="eastAsia" w:ascii="宋体" w:hAnsi="宋体" w:eastAsia="宋体" w:cs="宋体"/>
                <w:kern w:val="0"/>
                <w:szCs w:val="21"/>
              </w:rPr>
            </w:pPr>
            <w:r>
              <w:rPr>
                <w:rFonts w:hint="eastAsia" w:ascii="宋体" w:hAnsi="宋体" w:eastAsia="宋体" w:cs="宋体"/>
                <w:kern w:val="0"/>
                <w:szCs w:val="21"/>
              </w:rPr>
              <w:t>2、具有较好的与招聘学科组研究方向相关的专业知识，以第一作者或通讯作者在本学科领域核心刊物上发表过2篇及以上学术论文，其中至少1篇发表在SCI收录期刊；</w:t>
            </w:r>
          </w:p>
          <w:p>
            <w:pPr>
              <w:widowControl/>
              <w:spacing w:line="360" w:lineRule="exact"/>
              <w:ind w:left="314" w:leftChars="-16" w:hanging="348" w:hangingChars="166"/>
              <w:rPr>
                <w:rFonts w:hint="eastAsia" w:ascii="宋体" w:hAnsi="宋体" w:eastAsia="宋体" w:cs="宋体"/>
                <w:kern w:val="0"/>
                <w:szCs w:val="21"/>
              </w:rPr>
            </w:pPr>
            <w:r>
              <w:rPr>
                <w:rFonts w:hint="eastAsia" w:ascii="宋体" w:hAnsi="宋体" w:eastAsia="宋体" w:cs="宋体"/>
                <w:kern w:val="0"/>
                <w:szCs w:val="21"/>
              </w:rPr>
              <w:t>3、有较强的责任心和为高原生物学事业的奉献精神。恪守科学道德，学风正派，诚实守信，团结协作；</w:t>
            </w:r>
          </w:p>
          <w:p>
            <w:pPr>
              <w:widowControl/>
              <w:spacing w:line="360" w:lineRule="exact"/>
              <w:ind w:left="314" w:leftChars="-16" w:hanging="348" w:hangingChars="166"/>
              <w:rPr>
                <w:rFonts w:ascii="宋体" w:hAnsi="宋体" w:eastAsia="宋体" w:cs="宋体"/>
                <w:kern w:val="0"/>
                <w:szCs w:val="21"/>
              </w:rPr>
            </w:pPr>
            <w:r>
              <w:rPr>
                <w:rFonts w:hint="eastAsia" w:ascii="宋体" w:hAnsi="宋体" w:eastAsia="宋体" w:cs="宋体"/>
                <w:kern w:val="0"/>
                <w:szCs w:val="21"/>
              </w:rPr>
              <w:t>4、同等条件下，具有博士后经历的优先。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34" w:hRule="atLeast"/>
        </w:trPr>
        <w:tc>
          <w:tcPr>
            <w:tcW w:w="3936"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赵新全(赵亮)</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大数据分析或遥感</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color w:val="000000"/>
                <w:szCs w:val="21"/>
              </w:rPr>
              <w:t>陆地生态系统过程和功能对全球变化的响应和适应</w:t>
            </w:r>
            <w:r>
              <w:rPr>
                <w:rFonts w:hint="eastAsia" w:ascii="宋体" w:hAnsi="宋体" w:cs="宋体"/>
                <w:kern w:val="0"/>
                <w:szCs w:val="21"/>
              </w:rPr>
              <w:t>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李英年</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碳水通量长期监测与过程研究 </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小哺乳动物进化适应与濒危物种保护学科组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张同作</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动物生态学或动物保护遗传学 </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cs="宋体"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小哺乳动物种群及有害动物生物防治学科组组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边疆晖</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动物生态学</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 xml:space="preserve">1 </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农作物与牧草种质创新与育种学科组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陈志国（窦全文）</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作物学</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青藏高原生态经济植物资源研究与开发学科组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王洪伦</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天然药物化学或药理学</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ascii="宋体" w:hAnsi="宋体" w:cs="宋体"/>
                <w:kern w:val="0"/>
                <w:szCs w:val="21"/>
              </w:rPr>
              <w:t>藏药标准化</w:t>
            </w:r>
            <w:r>
              <w:rPr>
                <w:rFonts w:hint="eastAsia" w:ascii="宋体" w:hAnsi="宋体" w:cs="宋体"/>
                <w:kern w:val="0"/>
                <w:szCs w:val="21"/>
              </w:rPr>
              <w:t>与</w:t>
            </w:r>
            <w:r>
              <w:rPr>
                <w:rFonts w:ascii="宋体" w:hAnsi="宋体" w:cs="宋体"/>
                <w:kern w:val="0"/>
                <w:szCs w:val="21"/>
              </w:rPr>
              <w:t>新药研发学科组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ascii="宋体" w:hAnsi="宋体" w:cs="宋体"/>
                <w:kern w:val="0"/>
                <w:szCs w:val="21"/>
              </w:rPr>
              <w:t>李玉林</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ascii="宋体" w:hAnsi="宋体" w:cs="宋体"/>
                <w:kern w:val="0"/>
                <w:szCs w:val="21"/>
              </w:rPr>
              <w:t>药物化学</w:t>
            </w:r>
            <w:r>
              <w:rPr>
                <w:rFonts w:hint="eastAsia" w:ascii="宋体" w:hAnsi="宋体" w:cs="宋体"/>
                <w:kern w:val="0"/>
                <w:szCs w:val="21"/>
              </w:rPr>
              <w:t>或中药</w:t>
            </w:r>
            <w:r>
              <w:rPr>
                <w:rFonts w:ascii="宋体" w:hAnsi="宋体" w:cs="宋体"/>
                <w:kern w:val="0"/>
                <w:szCs w:val="21"/>
              </w:rPr>
              <w:t>药理学</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藏药药理及安全性评价学科组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魏立新 </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宋体"/>
                <w:kern w:val="0"/>
                <w:szCs w:val="21"/>
              </w:rPr>
            </w:pPr>
            <w:r>
              <w:rPr>
                <w:rFonts w:hint="eastAsia" w:ascii="宋体" w:hAnsi="宋体" w:cs="宋体"/>
                <w:kern w:val="0"/>
                <w:szCs w:val="21"/>
              </w:rPr>
              <w:t xml:space="preserve">药理学或药物化学 </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高原动物生殖生物学学科组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杨其恩 </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遗传学或繁殖学</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药材GAP生产与质量标准研究学科组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马世震</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jc w:val="center"/>
            </w:pPr>
            <w:r>
              <w:rPr>
                <w:rFonts w:hint="eastAsia"/>
              </w:rPr>
              <w:t>药用植物学（药材GAP生产技术研究）</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青藏高原药用植物资源与植被恢复学科组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szCs w:val="21"/>
              </w:rPr>
              <w:t>周国英</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植物生态学或</w:t>
            </w:r>
            <w:r>
              <w:rPr>
                <w:rFonts w:ascii="宋体" w:hAnsi="宋体" w:cs="宋体"/>
                <w:kern w:val="0"/>
                <w:szCs w:val="21"/>
              </w:rPr>
              <w:t>药理学</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藏药新药研究与开发</w:t>
            </w:r>
            <w:r>
              <w:rPr>
                <w:rFonts w:ascii="宋体" w:hAnsi="宋体" w:cs="宋体"/>
                <w:kern w:val="0"/>
                <w:szCs w:val="21"/>
              </w:rPr>
              <w:t>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陶燕铎 </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 xml:space="preserve"> 药理学</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393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kern w:val="0"/>
                <w:szCs w:val="21"/>
              </w:rPr>
            </w:pPr>
            <w:r>
              <w:rPr>
                <w:kern w:val="0"/>
                <w:szCs w:val="21"/>
              </w:rPr>
              <w:t>生物资源与环境生态</w:t>
            </w:r>
            <w:r>
              <w:rPr>
                <w:rFonts w:hint="eastAsia"/>
                <w:kern w:val="0"/>
                <w:szCs w:val="21"/>
              </w:rPr>
              <w:t>学科组</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kern w:val="0"/>
                <w:szCs w:val="21"/>
              </w:rPr>
            </w:pPr>
            <w:r>
              <w:rPr>
                <w:kern w:val="0"/>
                <w:szCs w:val="21"/>
              </w:rPr>
              <w:t>孙</w:t>
            </w:r>
            <w:r>
              <w:rPr>
                <w:rFonts w:hint="eastAsia"/>
                <w:kern w:val="0"/>
                <w:szCs w:val="21"/>
              </w:rPr>
              <w:t xml:space="preserve"> </w:t>
            </w:r>
            <w:r>
              <w:rPr>
                <w:kern w:val="0"/>
                <w:szCs w:val="21"/>
              </w:rPr>
              <w:t xml:space="preserve">菁 </w:t>
            </w:r>
          </w:p>
        </w:tc>
        <w:tc>
          <w:tcPr>
            <w:tcW w:w="25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kern w:val="0"/>
                <w:szCs w:val="21"/>
              </w:rPr>
            </w:pPr>
            <w:r>
              <w:rPr>
                <w:kern w:val="0"/>
                <w:szCs w:val="21"/>
              </w:rPr>
              <w:t>资源生态学</w:t>
            </w:r>
            <w:r>
              <w:rPr>
                <w:rFonts w:hint="eastAsia"/>
                <w:kern w:val="0"/>
                <w:szCs w:val="21"/>
              </w:rPr>
              <w:t>、资源化学</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75" w:lineRule="atLeast"/>
              <w:jc w:val="center"/>
              <w:rPr>
                <w:rFonts w:cs="宋体" w:asciiTheme="minorEastAsia" w:hAnsiTheme="minorEastAsia"/>
                <w:kern w:val="0"/>
                <w:szCs w:val="21"/>
              </w:rPr>
            </w:pPr>
            <w:r>
              <w:rPr>
                <w:rFonts w:hint="eastAsia" w:cs="宋体" w:asciiTheme="minorEastAsia" w:hAnsiTheme="minorEastAsia"/>
                <w:kern w:val="0"/>
                <w:szCs w:val="21"/>
              </w:rPr>
              <w:t>1</w:t>
            </w:r>
          </w:p>
        </w:tc>
        <w:tc>
          <w:tcPr>
            <w:tcW w:w="4852" w:type="dxa"/>
            <w:vMerge w:val="continue"/>
            <w:tcBorders>
              <w:left w:val="nil"/>
              <w:right w:val="single" w:color="auto" w:sz="8" w:space="0"/>
            </w:tcBorders>
            <w:vAlign w:val="center"/>
          </w:tcPr>
          <w:p>
            <w:pPr>
              <w:widowControl/>
              <w:spacing w:line="360" w:lineRule="exact"/>
              <w:ind w:left="-141" w:leftChars="-67" w:firstLine="140" w:firstLineChars="67"/>
              <w:jc w:val="center"/>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13" w:hRule="atLeast"/>
        </w:trPr>
        <w:tc>
          <w:tcPr>
            <w:tcW w:w="8330" w:type="dxa"/>
            <w:gridSpan w:val="3"/>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360" w:lineRule="exact"/>
              <w:jc w:val="center"/>
              <w:rPr>
                <w:rFonts w:ascii="宋体" w:hAnsi="宋体" w:eastAsia="宋体" w:cs="宋体"/>
                <w:kern w:val="0"/>
                <w:szCs w:val="21"/>
              </w:rPr>
            </w:pPr>
            <w:r>
              <w:rPr>
                <w:rFonts w:hint="eastAsia" w:ascii="宋体" w:hAnsi="宋体" w:eastAsia="宋体" w:cs="宋体"/>
                <w:b/>
                <w:bCs/>
                <w:kern w:val="0"/>
                <w:szCs w:val="21"/>
              </w:rPr>
              <w:t>合  计</w:t>
            </w:r>
          </w:p>
        </w:tc>
        <w:tc>
          <w:tcPr>
            <w:tcW w:w="99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pacing w:line="360" w:lineRule="exact"/>
              <w:jc w:val="center"/>
              <w:rPr>
                <w:rFonts w:ascii="Times New Roman" w:hAnsi="Times New Roman" w:eastAsia="宋体" w:cs="Times New Roman"/>
                <w:kern w:val="0"/>
                <w:szCs w:val="21"/>
              </w:rPr>
            </w:pPr>
            <w:r>
              <w:rPr>
                <w:rFonts w:hint="eastAsia" w:ascii="Times New Roman" w:hAnsi="Times New Roman" w:eastAsia="宋体" w:cs="Times New Roman"/>
                <w:bCs/>
                <w:kern w:val="0"/>
                <w:szCs w:val="21"/>
              </w:rPr>
              <w:t>14</w:t>
            </w:r>
          </w:p>
        </w:tc>
        <w:tc>
          <w:tcPr>
            <w:tcW w:w="4852" w:type="dxa"/>
            <w:vMerge w:val="continue"/>
            <w:tcBorders>
              <w:left w:val="nil"/>
              <w:right w:val="single" w:color="auto" w:sz="8" w:space="0"/>
            </w:tcBorders>
            <w:vAlign w:val="center"/>
          </w:tcPr>
          <w:p>
            <w:pPr>
              <w:widowControl/>
              <w:spacing w:line="360" w:lineRule="exact"/>
              <w:jc w:val="center"/>
              <w:rPr>
                <w:rFonts w:ascii="宋体" w:hAnsi="宋体" w:eastAsia="宋体" w:cs="宋体"/>
                <w:kern w:val="0"/>
                <w:szCs w:val="21"/>
              </w:rPr>
            </w:pPr>
          </w:p>
        </w:tc>
      </w:tr>
    </w:tbl>
    <w:p>
      <w:pPr>
        <w:widowControl/>
        <w:spacing w:line="375" w:lineRule="atLeast"/>
        <w:ind w:firstLine="420"/>
        <w:jc w:val="left"/>
        <w:rPr>
          <w:rFonts w:ascii="Times New Roman" w:hAnsi="Times New Roman" w:eastAsia="宋体" w:cs="Times New Roman"/>
          <w:color w:val="424242"/>
          <w:kern w:val="0"/>
          <w:szCs w:val="21"/>
        </w:rPr>
      </w:pPr>
      <w:r>
        <w:rPr>
          <w:rFonts w:ascii="Times New Roman" w:hAnsi="Times New Roman" w:eastAsia="宋体" w:cs="Times New Roman"/>
          <w:b/>
          <w:bCs/>
          <w:color w:val="424242"/>
          <w:kern w:val="0"/>
          <w:szCs w:val="21"/>
        </w:rPr>
        <w:t>2、</w:t>
      </w:r>
      <w:r>
        <w:rPr>
          <w:rFonts w:hint="eastAsia" w:ascii="Times New Roman" w:hAnsi="Times New Roman" w:eastAsia="宋体" w:cs="Times New Roman"/>
          <w:b/>
          <w:bCs/>
          <w:color w:val="424242"/>
          <w:kern w:val="0"/>
          <w:szCs w:val="21"/>
        </w:rPr>
        <w:t>技术</w:t>
      </w:r>
      <w:r>
        <w:rPr>
          <w:rFonts w:ascii="Times New Roman" w:hAnsi="Times New Roman" w:eastAsia="宋体" w:cs="Times New Roman"/>
          <w:b/>
          <w:bCs/>
          <w:color w:val="424242"/>
          <w:kern w:val="0"/>
          <w:szCs w:val="21"/>
        </w:rPr>
        <w:t>支撑岗位</w:t>
      </w:r>
    </w:p>
    <w:tbl>
      <w:tblPr>
        <w:tblStyle w:val="7"/>
        <w:tblW w:w="14176" w:type="dxa"/>
        <w:tblInd w:w="-134"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4537"/>
        <w:gridCol w:w="1559"/>
        <w:gridCol w:w="709"/>
        <w:gridCol w:w="737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c>
          <w:tcPr>
            <w:tcW w:w="4537" w:type="dxa"/>
            <w:tcBorders>
              <w:top w:val="outset" w:color="000000" w:sz="6" w:space="0"/>
              <w:left w:val="outset" w:color="000000" w:sz="6" w:space="0"/>
              <w:bottom w:val="outset" w:color="000000" w:sz="6" w:space="0"/>
              <w:right w:val="outset" w:color="000000" w:sz="6"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部门</w:t>
            </w:r>
          </w:p>
        </w:tc>
        <w:tc>
          <w:tcPr>
            <w:tcW w:w="1559" w:type="dxa"/>
            <w:tcBorders>
              <w:top w:val="outset" w:color="000000" w:sz="6" w:space="0"/>
              <w:left w:val="outset" w:color="000000" w:sz="6" w:space="0"/>
              <w:bottom w:val="outset" w:color="000000" w:sz="6" w:space="0"/>
              <w:right w:val="outset" w:color="000000" w:sz="6"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岗位</w:t>
            </w:r>
          </w:p>
        </w:tc>
        <w:tc>
          <w:tcPr>
            <w:tcW w:w="709" w:type="dxa"/>
            <w:tcBorders>
              <w:top w:val="outset" w:color="000000" w:sz="6" w:space="0"/>
              <w:left w:val="outset" w:color="000000" w:sz="6" w:space="0"/>
              <w:bottom w:val="outset" w:color="000000" w:sz="6" w:space="0"/>
              <w:right w:val="outset" w:color="000000" w:sz="6"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人数</w:t>
            </w:r>
          </w:p>
        </w:tc>
        <w:tc>
          <w:tcPr>
            <w:tcW w:w="7371" w:type="dxa"/>
            <w:tcBorders>
              <w:top w:val="outset" w:color="000000" w:sz="6" w:space="0"/>
              <w:left w:val="outset" w:color="000000" w:sz="6" w:space="0"/>
              <w:bottom w:val="outset" w:color="000000" w:sz="6" w:space="0"/>
              <w:right w:val="outset" w:color="000000" w:sz="6" w:space="0"/>
            </w:tcBorders>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应聘条件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774" w:hRule="atLeast"/>
        </w:trPr>
        <w:tc>
          <w:tcPr>
            <w:tcW w:w="4537" w:type="dxa"/>
            <w:tcBorders>
              <w:top w:val="outset" w:color="000000" w:sz="6" w:space="0"/>
              <w:left w:val="outset" w:color="000000" w:sz="6" w:space="0"/>
              <w:right w:val="outset" w:color="000000" w:sz="6"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中科院高原生物适应与进化重点实验室</w:t>
            </w:r>
          </w:p>
        </w:tc>
        <w:tc>
          <w:tcPr>
            <w:tcW w:w="1559" w:type="dxa"/>
            <w:tcBorders>
              <w:top w:val="outset" w:color="000000" w:sz="6" w:space="0"/>
              <w:left w:val="outset" w:color="000000" w:sz="6" w:space="0"/>
              <w:right w:val="outset" w:color="000000" w:sz="6" w:space="0"/>
            </w:tcBorders>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实验室管理</w:t>
            </w:r>
          </w:p>
        </w:tc>
        <w:tc>
          <w:tcPr>
            <w:tcW w:w="709" w:type="dxa"/>
            <w:tcBorders>
              <w:top w:val="outset" w:color="000000" w:sz="6" w:space="0"/>
              <w:left w:val="outset" w:color="000000" w:sz="6" w:space="0"/>
              <w:right w:val="outset" w:color="000000" w:sz="6" w:space="0"/>
            </w:tcBorders>
            <w:vAlign w:val="center"/>
          </w:tcPr>
          <w:p>
            <w:pPr>
              <w:widowControl/>
              <w:spacing w:line="375" w:lineRule="atLeast"/>
              <w:jc w:val="center"/>
              <w:rPr>
                <w:rFonts w:ascii="宋体" w:hAnsi="宋体" w:cs="宋体"/>
                <w:kern w:val="0"/>
                <w:szCs w:val="21"/>
              </w:rPr>
            </w:pPr>
            <w:r>
              <w:rPr>
                <w:rFonts w:hint="eastAsia" w:ascii="宋体" w:hAnsi="宋体" w:cs="宋体"/>
                <w:kern w:val="0"/>
                <w:szCs w:val="21"/>
              </w:rPr>
              <w:t>1</w:t>
            </w:r>
          </w:p>
        </w:tc>
        <w:tc>
          <w:tcPr>
            <w:tcW w:w="7371" w:type="dxa"/>
            <w:tcBorders>
              <w:left w:val="outset" w:color="000000" w:sz="6" w:space="0"/>
              <w:right w:val="outset" w:color="000000" w:sz="6" w:space="0"/>
            </w:tcBorders>
          </w:tcPr>
          <w:p>
            <w:pPr>
              <w:widowControl/>
              <w:spacing w:line="375" w:lineRule="atLeast"/>
              <w:jc w:val="left"/>
              <w:rPr>
                <w:rFonts w:ascii="宋体" w:hAnsi="宋体" w:cs="宋体"/>
                <w:kern w:val="0"/>
                <w:szCs w:val="21"/>
              </w:rPr>
            </w:pPr>
            <w:r>
              <w:rPr>
                <w:rFonts w:hint="eastAsia" w:ascii="宋体" w:hAnsi="宋体" w:cs="宋体"/>
                <w:kern w:val="0"/>
                <w:szCs w:val="21"/>
              </w:rPr>
              <w:t>1、应聘高原生物适应与进化重点实验室管理岗位应为植物学或动物学专业，具有分子生物学研究基础，并能够熟练掌握各类分子生物学仪器设备的操作；</w:t>
            </w:r>
          </w:p>
          <w:p>
            <w:pPr>
              <w:widowControl/>
              <w:spacing w:line="375" w:lineRule="atLeast"/>
              <w:jc w:val="left"/>
              <w:rPr>
                <w:rFonts w:ascii="宋体" w:hAnsi="宋体" w:cs="宋体"/>
                <w:kern w:val="0"/>
                <w:szCs w:val="21"/>
              </w:rPr>
            </w:pPr>
            <w:r>
              <w:rPr>
                <w:rFonts w:hint="eastAsia" w:ascii="宋体" w:hAnsi="宋体" w:cs="宋体"/>
                <w:kern w:val="0"/>
                <w:szCs w:val="21"/>
              </w:rPr>
              <w:t>2、以第一作者或通讯作者在本学科领域核心刊物上发表过1篇及以上学术论文；</w:t>
            </w:r>
          </w:p>
          <w:p>
            <w:pPr>
              <w:widowControl/>
              <w:spacing w:line="375" w:lineRule="atLeast"/>
              <w:jc w:val="left"/>
              <w:rPr>
                <w:rFonts w:ascii="宋体" w:hAnsi="宋体" w:cs="宋体"/>
                <w:kern w:val="0"/>
                <w:szCs w:val="21"/>
              </w:rPr>
            </w:pPr>
            <w:r>
              <w:rPr>
                <w:rFonts w:hint="eastAsia" w:ascii="宋体" w:hAnsi="宋体" w:cs="宋体"/>
                <w:kern w:val="0"/>
                <w:szCs w:val="21"/>
              </w:rPr>
              <w:t xml:space="preserve">3、具有分析问题和解决疑难问题的能力，热爱技术支撑服务工作，责任心和服务意识强； </w:t>
            </w:r>
          </w:p>
          <w:p>
            <w:pPr>
              <w:widowControl/>
              <w:spacing w:line="375" w:lineRule="atLeast"/>
              <w:jc w:val="left"/>
              <w:rPr>
                <w:rFonts w:ascii="宋体" w:hAnsi="宋体" w:cs="宋体"/>
                <w:kern w:val="0"/>
                <w:szCs w:val="21"/>
              </w:rPr>
            </w:pPr>
            <w:r>
              <w:rPr>
                <w:rFonts w:hint="eastAsia" w:ascii="宋体" w:hAnsi="宋体" w:cs="宋体"/>
                <w:kern w:val="0"/>
                <w:szCs w:val="21"/>
              </w:rPr>
              <w:t>4、具有硕士及以上学位（博士学位者优先）；身体健康，年龄不超过35周岁，有一定的组织管理和协调能力，良好的团队合作精神。</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096" w:type="dxa"/>
            <w:gridSpan w:val="2"/>
            <w:tcBorders>
              <w:top w:val="single" w:color="auto" w:sz="4" w:space="0"/>
              <w:left w:val="outset" w:color="000000" w:sz="6" w:space="0"/>
              <w:bottom w:val="single" w:color="auto" w:sz="4" w:space="0"/>
              <w:right w:val="outset" w:color="000000" w:sz="6" w:space="0"/>
            </w:tcBorders>
            <w:vAlign w:val="center"/>
          </w:tcPr>
          <w:p>
            <w:pPr>
              <w:widowControl/>
              <w:spacing w:line="300" w:lineRule="exact"/>
              <w:jc w:val="center"/>
              <w:rPr>
                <w:rFonts w:ascii="宋体" w:hAnsi="宋体" w:cs="宋体"/>
                <w:kern w:val="0"/>
                <w:szCs w:val="21"/>
              </w:rPr>
            </w:pPr>
            <w:r>
              <w:rPr>
                <w:rFonts w:hint="eastAsia" w:ascii="宋体" w:hAnsi="宋体" w:cs="宋体"/>
                <w:bCs/>
                <w:kern w:val="0"/>
                <w:szCs w:val="21"/>
              </w:rPr>
              <w:t>合计</w:t>
            </w:r>
          </w:p>
        </w:tc>
        <w:tc>
          <w:tcPr>
            <w:tcW w:w="709" w:type="dxa"/>
            <w:tcBorders>
              <w:top w:val="single" w:color="auto" w:sz="4" w:space="0"/>
              <w:left w:val="outset" w:color="000000" w:sz="6" w:space="0"/>
              <w:bottom w:val="single" w:color="auto" w:sz="4" w:space="0"/>
              <w:right w:val="outset" w:color="000000" w:sz="6" w:space="0"/>
            </w:tcBorders>
            <w:vAlign w:val="center"/>
          </w:tcPr>
          <w:p>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7371" w:type="dxa"/>
            <w:tcBorders>
              <w:top w:val="single" w:color="auto" w:sz="4" w:space="0"/>
              <w:left w:val="outset" w:color="000000" w:sz="6" w:space="0"/>
              <w:bottom w:val="single" w:color="auto" w:sz="4" w:space="0"/>
              <w:right w:val="outset" w:color="000000" w:sz="6" w:space="0"/>
            </w:tcBorders>
            <w:vAlign w:val="center"/>
          </w:tcPr>
          <w:p>
            <w:pPr>
              <w:widowControl/>
              <w:spacing w:line="300" w:lineRule="exact"/>
              <w:rPr>
                <w:rFonts w:ascii="宋体" w:hAnsi="宋体" w:cs="宋体"/>
                <w:kern w:val="0"/>
                <w:szCs w:val="21"/>
              </w:rPr>
            </w:pPr>
          </w:p>
        </w:tc>
      </w:tr>
    </w:tbl>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E3"/>
    <w:rsid w:val="00002F66"/>
    <w:rsid w:val="000202BF"/>
    <w:rsid w:val="00025F3E"/>
    <w:rsid w:val="00034984"/>
    <w:rsid w:val="00046CA7"/>
    <w:rsid w:val="0005019A"/>
    <w:rsid w:val="00057BAA"/>
    <w:rsid w:val="00065F7B"/>
    <w:rsid w:val="00076536"/>
    <w:rsid w:val="00081602"/>
    <w:rsid w:val="00082E01"/>
    <w:rsid w:val="00084C8B"/>
    <w:rsid w:val="000A2B27"/>
    <w:rsid w:val="000A487F"/>
    <w:rsid w:val="000A4A1E"/>
    <w:rsid w:val="000E0F43"/>
    <w:rsid w:val="00112926"/>
    <w:rsid w:val="00121D70"/>
    <w:rsid w:val="001332E8"/>
    <w:rsid w:val="00157FB3"/>
    <w:rsid w:val="00167949"/>
    <w:rsid w:val="001708DC"/>
    <w:rsid w:val="0019242E"/>
    <w:rsid w:val="00193FA5"/>
    <w:rsid w:val="001A65A5"/>
    <w:rsid w:val="001C559F"/>
    <w:rsid w:val="001D14B2"/>
    <w:rsid w:val="001D4938"/>
    <w:rsid w:val="001F1F8A"/>
    <w:rsid w:val="001F7C57"/>
    <w:rsid w:val="00217E72"/>
    <w:rsid w:val="002213D5"/>
    <w:rsid w:val="002338D5"/>
    <w:rsid w:val="00267019"/>
    <w:rsid w:val="00274EBD"/>
    <w:rsid w:val="0028174C"/>
    <w:rsid w:val="00291A97"/>
    <w:rsid w:val="00297AE7"/>
    <w:rsid w:val="002B10E3"/>
    <w:rsid w:val="002B1AAF"/>
    <w:rsid w:val="002C22C5"/>
    <w:rsid w:val="002C3D9A"/>
    <w:rsid w:val="002C6BA0"/>
    <w:rsid w:val="00307FBA"/>
    <w:rsid w:val="00317FE0"/>
    <w:rsid w:val="003263B5"/>
    <w:rsid w:val="00344E9F"/>
    <w:rsid w:val="00374CA4"/>
    <w:rsid w:val="003808FF"/>
    <w:rsid w:val="003859BE"/>
    <w:rsid w:val="00385C3A"/>
    <w:rsid w:val="00387F5D"/>
    <w:rsid w:val="003924B4"/>
    <w:rsid w:val="003966B5"/>
    <w:rsid w:val="003A1A3B"/>
    <w:rsid w:val="003A299B"/>
    <w:rsid w:val="003A4C91"/>
    <w:rsid w:val="003B2CBC"/>
    <w:rsid w:val="003C60BE"/>
    <w:rsid w:val="003D4485"/>
    <w:rsid w:val="003D662B"/>
    <w:rsid w:val="003D712E"/>
    <w:rsid w:val="003F31E6"/>
    <w:rsid w:val="00402C76"/>
    <w:rsid w:val="00403E51"/>
    <w:rsid w:val="00410D82"/>
    <w:rsid w:val="00417E7B"/>
    <w:rsid w:val="004340E0"/>
    <w:rsid w:val="004469F5"/>
    <w:rsid w:val="00447047"/>
    <w:rsid w:val="00461971"/>
    <w:rsid w:val="00474F6B"/>
    <w:rsid w:val="004815FF"/>
    <w:rsid w:val="00495D69"/>
    <w:rsid w:val="004A4209"/>
    <w:rsid w:val="004C0ECC"/>
    <w:rsid w:val="004C2257"/>
    <w:rsid w:val="004C66F0"/>
    <w:rsid w:val="004E626A"/>
    <w:rsid w:val="004F3A4E"/>
    <w:rsid w:val="004F6B66"/>
    <w:rsid w:val="004F7790"/>
    <w:rsid w:val="005103DA"/>
    <w:rsid w:val="00511271"/>
    <w:rsid w:val="00527875"/>
    <w:rsid w:val="005361FC"/>
    <w:rsid w:val="00540120"/>
    <w:rsid w:val="00542131"/>
    <w:rsid w:val="0054799B"/>
    <w:rsid w:val="00555DE6"/>
    <w:rsid w:val="00563C54"/>
    <w:rsid w:val="00575034"/>
    <w:rsid w:val="00595D8A"/>
    <w:rsid w:val="005A0699"/>
    <w:rsid w:val="005B6EA8"/>
    <w:rsid w:val="005D57AE"/>
    <w:rsid w:val="005E5FE7"/>
    <w:rsid w:val="005F3ECF"/>
    <w:rsid w:val="00600150"/>
    <w:rsid w:val="0061168D"/>
    <w:rsid w:val="00626018"/>
    <w:rsid w:val="00642FA6"/>
    <w:rsid w:val="00664859"/>
    <w:rsid w:val="00696A6C"/>
    <w:rsid w:val="006B5573"/>
    <w:rsid w:val="006C7B95"/>
    <w:rsid w:val="00710C53"/>
    <w:rsid w:val="00713505"/>
    <w:rsid w:val="00720447"/>
    <w:rsid w:val="00721BF7"/>
    <w:rsid w:val="00733371"/>
    <w:rsid w:val="007470AB"/>
    <w:rsid w:val="00751126"/>
    <w:rsid w:val="007559BF"/>
    <w:rsid w:val="00763F4D"/>
    <w:rsid w:val="00765C09"/>
    <w:rsid w:val="0076784B"/>
    <w:rsid w:val="00776CCE"/>
    <w:rsid w:val="00780B5C"/>
    <w:rsid w:val="007812D7"/>
    <w:rsid w:val="00784B77"/>
    <w:rsid w:val="007916BB"/>
    <w:rsid w:val="0079348C"/>
    <w:rsid w:val="00793604"/>
    <w:rsid w:val="007938A0"/>
    <w:rsid w:val="007B77B5"/>
    <w:rsid w:val="007C219F"/>
    <w:rsid w:val="007D51DA"/>
    <w:rsid w:val="007E6E23"/>
    <w:rsid w:val="007F1CAF"/>
    <w:rsid w:val="007F3ACA"/>
    <w:rsid w:val="00806CEE"/>
    <w:rsid w:val="00811242"/>
    <w:rsid w:val="0081158C"/>
    <w:rsid w:val="00812BAE"/>
    <w:rsid w:val="00823517"/>
    <w:rsid w:val="008318AA"/>
    <w:rsid w:val="00836B0B"/>
    <w:rsid w:val="0084220F"/>
    <w:rsid w:val="008455E7"/>
    <w:rsid w:val="00846F9B"/>
    <w:rsid w:val="0085534B"/>
    <w:rsid w:val="00872ECF"/>
    <w:rsid w:val="00887509"/>
    <w:rsid w:val="0089263C"/>
    <w:rsid w:val="0089667B"/>
    <w:rsid w:val="00897CA5"/>
    <w:rsid w:val="008D1395"/>
    <w:rsid w:val="008D56C1"/>
    <w:rsid w:val="008E4ED9"/>
    <w:rsid w:val="008F34F3"/>
    <w:rsid w:val="008F5C6D"/>
    <w:rsid w:val="008F6E73"/>
    <w:rsid w:val="00901343"/>
    <w:rsid w:val="00930508"/>
    <w:rsid w:val="00932FEC"/>
    <w:rsid w:val="00965A45"/>
    <w:rsid w:val="00987C82"/>
    <w:rsid w:val="0099373A"/>
    <w:rsid w:val="009B77F4"/>
    <w:rsid w:val="009C0CAD"/>
    <w:rsid w:val="009D47A3"/>
    <w:rsid w:val="009D49AC"/>
    <w:rsid w:val="009E0C31"/>
    <w:rsid w:val="009E7581"/>
    <w:rsid w:val="009F48F3"/>
    <w:rsid w:val="00A01963"/>
    <w:rsid w:val="00A151C7"/>
    <w:rsid w:val="00A22CFB"/>
    <w:rsid w:val="00A27A16"/>
    <w:rsid w:val="00A53472"/>
    <w:rsid w:val="00A5786F"/>
    <w:rsid w:val="00AC21A7"/>
    <w:rsid w:val="00AC2376"/>
    <w:rsid w:val="00AD14D0"/>
    <w:rsid w:val="00AD528A"/>
    <w:rsid w:val="00AD7963"/>
    <w:rsid w:val="00AE4A52"/>
    <w:rsid w:val="00AE6386"/>
    <w:rsid w:val="00B119BB"/>
    <w:rsid w:val="00B55128"/>
    <w:rsid w:val="00B65EE2"/>
    <w:rsid w:val="00B721A0"/>
    <w:rsid w:val="00B72B3B"/>
    <w:rsid w:val="00B7531E"/>
    <w:rsid w:val="00B962F6"/>
    <w:rsid w:val="00BC67D1"/>
    <w:rsid w:val="00BD577B"/>
    <w:rsid w:val="00BE1494"/>
    <w:rsid w:val="00BE295A"/>
    <w:rsid w:val="00BF30D9"/>
    <w:rsid w:val="00C06591"/>
    <w:rsid w:val="00C140D0"/>
    <w:rsid w:val="00C21921"/>
    <w:rsid w:val="00C43102"/>
    <w:rsid w:val="00C4467F"/>
    <w:rsid w:val="00C45EC9"/>
    <w:rsid w:val="00C530C5"/>
    <w:rsid w:val="00C769D1"/>
    <w:rsid w:val="00CA1CC9"/>
    <w:rsid w:val="00CB4E03"/>
    <w:rsid w:val="00CB5831"/>
    <w:rsid w:val="00CE313E"/>
    <w:rsid w:val="00CE5493"/>
    <w:rsid w:val="00CF1DA4"/>
    <w:rsid w:val="00D03341"/>
    <w:rsid w:val="00D42794"/>
    <w:rsid w:val="00D50CF7"/>
    <w:rsid w:val="00D757F3"/>
    <w:rsid w:val="00D82607"/>
    <w:rsid w:val="00D828DC"/>
    <w:rsid w:val="00D82E6E"/>
    <w:rsid w:val="00D86EB6"/>
    <w:rsid w:val="00D87F45"/>
    <w:rsid w:val="00D9149C"/>
    <w:rsid w:val="00D95642"/>
    <w:rsid w:val="00DB3EFB"/>
    <w:rsid w:val="00DB732F"/>
    <w:rsid w:val="00DB75DC"/>
    <w:rsid w:val="00DC25C4"/>
    <w:rsid w:val="00DC7017"/>
    <w:rsid w:val="00DE6DA5"/>
    <w:rsid w:val="00E03142"/>
    <w:rsid w:val="00E277EA"/>
    <w:rsid w:val="00E46865"/>
    <w:rsid w:val="00E751D3"/>
    <w:rsid w:val="00E906EA"/>
    <w:rsid w:val="00E91845"/>
    <w:rsid w:val="00E9469D"/>
    <w:rsid w:val="00EA2798"/>
    <w:rsid w:val="00EA32D4"/>
    <w:rsid w:val="00EB1DED"/>
    <w:rsid w:val="00EB2457"/>
    <w:rsid w:val="00EC51D1"/>
    <w:rsid w:val="00ED13BD"/>
    <w:rsid w:val="00ED275F"/>
    <w:rsid w:val="00ED5083"/>
    <w:rsid w:val="00ED6F08"/>
    <w:rsid w:val="00EE6F77"/>
    <w:rsid w:val="00F071F9"/>
    <w:rsid w:val="00F10896"/>
    <w:rsid w:val="00F22880"/>
    <w:rsid w:val="00F25CA3"/>
    <w:rsid w:val="00F37990"/>
    <w:rsid w:val="00F820CF"/>
    <w:rsid w:val="00FC2B6B"/>
    <w:rsid w:val="00FD2469"/>
    <w:rsid w:val="00FD3F58"/>
    <w:rsid w:val="00FE33DA"/>
    <w:rsid w:val="00FE4C93"/>
    <w:rsid w:val="482A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155</Words>
  <Characters>889</Characters>
  <Lines>7</Lines>
  <Paragraphs>2</Paragraphs>
  <TotalTime>6</TotalTime>
  <ScaleCrop>false</ScaleCrop>
  <LinksUpToDate>false</LinksUpToDate>
  <CharactersWithSpaces>1042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2019-09-20T02:38:00Z</dcterms:created>
  <dc:creator>钟海民</dc:creator>
  <cp:lastModifiedBy>hp</cp:lastModifiedBy>
  <cp:lastPrinted>2019-07-02T10:27:00Z</cp:lastPrinted>
  <dcterms:modified xsi:type="dcterms:W3CDTF">2019-09-22T14:44:53Z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